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770"/>
          <w:tab w:val="left" w:pos="8760"/>
        </w:tabs>
        <w:spacing w:after="0" w:before="0" w:line="360" w:lineRule="auto"/>
        <w:ind w:left="0" w:right="41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Договор №___/21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выполнение работ</w:t>
        <w:br w:type="textWrapp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 Москва</w:t>
        <w:tab/>
        <w:tab/>
        <w:tab/>
        <w:tab/>
        <w:tab/>
        <w:tab/>
        <w:tab/>
        <w:tab/>
        <w:t xml:space="preserve">                           «___» __________2021 года</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«Архивариус» в лице Генерального директора Звонаревой К.И., действующего на основании Устава, именуемого в дальнейшем «ИСПОЛНИТЕЛЬ», с одной стороны, и ________________________ в лице _________________________, действующего на основании Устава, именуемого в дальнейшем «ЗАКАЗЧИК», с другой стороны, заключили настоящий договор о нижеследующем:</w:t>
      </w:r>
    </w:p>
    <w:p w:rsidR="00000000" w:rsidDel="00000000" w:rsidP="00000000" w:rsidRDefault="00000000" w:rsidRPr="00000000" w14:paraId="0000000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547" w:right="414" w:hanging="54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14:paraId="0000000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540" w:right="414" w:hanging="54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принимает на себя обязательства выполнить работы (далее – работы) по сканированию и атрибутированию документов. </w:t>
      </w:r>
    </w:p>
    <w:p w:rsidR="00000000" w:rsidDel="00000000" w:rsidP="00000000" w:rsidRDefault="00000000" w:rsidRPr="00000000" w14:paraId="0000000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540" w:right="414" w:hanging="54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обязуется принять и оплатить работы в соответствии с условиями настоящего Договора. </w:t>
      </w:r>
    </w:p>
    <w:p w:rsidR="00000000" w:rsidDel="00000000" w:rsidP="00000000" w:rsidRDefault="00000000" w:rsidRPr="00000000" w14:paraId="0000000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544" w:right="414" w:hanging="54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ПРАВА И ОБЯЗАННОСТИ ИСПОЛНИТЕЛЯ</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40" w:right="414" w:hanging="54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в рамках настоящего Договора, обязуется выполнить работы по заявке ЗАКАЗЧИКА в соответствии с Приложением №1 к настоящему Договору.</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40" w:right="414" w:hanging="54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обязан предоставлять ЗАКАЗЧИКУ информацию о ходе работ, выполняемых в рамках настоящего Договора.</w:t>
      </w:r>
    </w:p>
    <w:p w:rsidR="00000000" w:rsidDel="00000000" w:rsidP="00000000" w:rsidRDefault="00000000" w:rsidRPr="00000000" w14:paraId="0000000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547" w:right="414" w:hanging="54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ПРАВА И ОБЯЗАННОСТИ ЗАКАЗЧИКА</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40" w:right="414" w:hanging="54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передает ИСПОЛНИТЕЛЮ заявку на выполнение работ, указанных в Приложении №1 к настоящему договору и согласовывает сроки проведения указанных работ.</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40" w:right="414" w:hanging="540"/>
        <w:jc w:val="both"/>
        <w:rPr>
          <w:rFonts w:ascii="Times New Roman" w:cs="Times New Roman" w:eastAsia="Times New Roman" w:hAnsi="Times New Roman"/>
          <w:b w:val="0"/>
          <w:i w:val="0"/>
          <w:smallCaps w:val="0"/>
          <w:strike w:val="0"/>
          <w:color w:val="000000"/>
          <w:sz w:val="20"/>
          <w:szCs w:val="20"/>
          <w:u w:val="none"/>
          <w:shd w:fill="auto" w:val="clear"/>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вправе в любое время проверять ход и качество работ, выполняемых ИСПОЛНИТЕЛЕМ.</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48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СТОИМОСТЬ ДОГОВОРА</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услуг по сканированию и публикации документов устанавливается по ценам в соответствии с Приложением №1 к настоящему Договору.</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Указанная сумма НДС не облагается. ИСПОЛНИТЕЛЬ применяет упрощенную систему налогообложения на основании статей 346.12 и 346.13 главы 26.2 Налогового Кодекса РФ.</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РАСЧЕТОВ</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Оплата за услуги производится после подписания Акта сдачи-приемки работ ЗАКАЗЧИКОМ.</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платежи по настоящему Договору производятся ЗАКАЗЧИКОМ на основании выставляемых счетов ИСПОЛНИТЕЛЯ путем перечисления соответствующих сумм на расчетный счет ИСПОЛНИТЕЛЯ в течение 3 (трех) рабочих дней с даты получения счета ЗАКАЗЧИКОМ.</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Изменение объема и стоимости работ оформляется Дополнительным соглашением Сторон к настоящему Договору.</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платежи по настоящему Договору осуществляются в безналичной форме, в валюте Российской Федерации (рублях) по реквизитам, указанным в разделе «Адреса и банковские реквизиты СТОРОН» настоящего Договора.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Датой платежа считается дата списания денежных средств с расчетного счета ЗАКАЗЧИКА.</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48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СДАЧИ И ПРИЕМКИ ВЫПОЛНЕННЫХ РАБОТ</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пяти рабочих дней по завершении выполнения работ по настоящему Договору ИСПОЛНИТЕЛЬ передает ЗАКАЗЧИКУ результаты работ в соответствии с Приложением №1 к настоящему Договору, а после их принятия АКТ в двух экземплярах, подписанных со стороны ИСПОЛНИТЕЛЯ.</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в течение 10 (десяти) рабочих дней с даты получения АКТА обязан рассмотреть результаты работ и направить ИСПОЛНИТЕЛЮ подписанный АКТ или мотивированный отказ от приемки выполненных работ. По истечении указанного срока, если ЗАКАЗЧИК не направил ИСПОЛНИТЕЛЮ мотивированный отказ от приемки выполненных работ, то работы по настоящему Договору считаются выполненными, принятыми и подлежащими оплате в соответствии с условиями настоящего Договора. </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отказа ЗАКАЗЧИКА от приемки работ в связи с недостатками выполненных ИСПОЛНИТЕЛЕМ работ, СТОРОНАМИ составляется двусторонний Протокол с перечнем необходимых работ и сроков их выполнения. Все необходимые доработки выполняются ИСПОЛНИТЕЛЕМ за свой счет.</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5 (Пяти) рабочих дней с даты подписания АКТА, ИСПОЛНИТЕЛЬ выставляет ЗАКАЗЧИКУ счет на стоимость выполненных работ.</w:t>
      </w:r>
    </w:p>
    <w:p w:rsidR="00000000" w:rsidDel="00000000" w:rsidP="00000000" w:rsidRDefault="00000000" w:rsidRPr="00000000" w14:paraId="0000001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547" w:right="414" w:hanging="54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КОНФИДЕНЦИАЛЬНОСТЬ </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и ЗАКАЗЧИК согласились с тем, что они будут считать конфиденциальной информацией условия настоящего Договора и информацию, переданную ими друг другу в процессе его исполнения. В связи с этим СТОРОНЫ принимают на себя обязанность сохранять конфиденциальную информацию строго конфиденциальной и принять все необходимые меры против ее разглашения третьим лицам без предварительного письменного согласия СТОРОНЫ, которой принадлежит конфиденциальная информация.</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Условия конфиденциальности по настоящему Договору сохраняют свою силу в течение всего срока действия настоящего Договора и пять лет после его завершения.</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не раскрывало ее или передавало ее, какому бы то ни было неуполномоченному на ее получение лицу.</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Конфиденциальная информация, полученная СТОРОНАМИ, может быть передана органам государственной власти Российской Федерации, по основаниям и в порядке, установленным действующим законодательством Российской Федерации, с незамедлительным уведомлением об этом другой СТОРОНЫ.</w:t>
      </w:r>
    </w:p>
    <w:p w:rsidR="00000000" w:rsidDel="00000000" w:rsidP="00000000" w:rsidRDefault="00000000" w:rsidRPr="00000000" w14:paraId="0000002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547" w:right="414" w:hanging="54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ОБСТОЯТЕЛЬСТВА НЕПРЕОДОЛИМОЙ СИЛЫ</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обстоятельствами непреодолимой силы (чрезвычайными и непредотвратимыми при данных условиях).</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которая не в состоянии выполнить свои договорные обязательства, незамедлительно информирует другую СТОРОНУ о начале и прекращении вышеуказанных обстоятельств, но в любом случае, не позднее 5 (Пяти) рабочих дней после начала их действия, представив соответствующие документы.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указанные обстоятельства продолжаются более двух календарных месяцев, каждая СТОРОНА имеет право на досрочное расторжение настоящего Дополнительного соглашения или его части. В этом случае СТОРОНЫ производят взаиморасчеты.</w:t>
      </w:r>
    </w:p>
    <w:p w:rsidR="00000000" w:rsidDel="00000000" w:rsidP="00000000" w:rsidRDefault="00000000" w:rsidRPr="00000000" w14:paraId="0000002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РАССМОТРЕНИЯ СПОРОВ</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Разногласия и споры, которые могут возникнуть при исполнении настоящего Договора и соответствующих Дополнительных соглашений, Стороны будут стараться разрешить путем переговоров.</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разногласия и споры, возникшие при исполнении настоящего Договора и неурегулированные путем переговоров, подлежат рассмотрению в Арбитражном суде г. Москвы.</w:t>
      </w:r>
    </w:p>
    <w:p w:rsidR="00000000" w:rsidDel="00000000" w:rsidP="00000000" w:rsidRDefault="00000000" w:rsidRPr="00000000" w14:paraId="0000002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ПРОЧИЕ УСЛОВИЯ</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Нарушение одной из Сторон (Далее - виновная сторона) условий по настоящему Договору влечет за собой право другой Стороны требовать от виновной стороны уплаты пени в размере 0,1 процента за каждый день просрочки от стоимости просроченного обязательства. Общая сумма пени по настоящему Договору не может превышать 10 (десяти) процентов от стоимости неисполненного обязательства.</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изменения и дополнения к настоящему Договору оформляются Дополнительными соглашениями, составленными в письменном виде и подписанными представителями обеих СТОРОН.</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вступает в силу с даты подписания СТОРОНАМИ и действует до полного исполнения СТОРОНАМИ своих обязательств по настоящему Договору.</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составлен в двух экземплярах, имеющих одинаковую юридическую силу – по одному для каждой СТОРОНЫ.</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Неотъемлемой частью настоящего Договора являются следующие Приложения:</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414" w:hanging="56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№1</w:t>
      </w:r>
    </w:p>
    <w:p w:rsidR="00000000" w:rsidDel="00000000" w:rsidP="00000000" w:rsidRDefault="00000000" w:rsidRPr="00000000" w14:paraId="0000003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480" w:line="240" w:lineRule="auto"/>
        <w:ind w:left="547" w:right="0" w:hanging="54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АДРЕСА, РЕКВИЗИТЫ И ПОДПИСИ СТОРОН:</w:t>
      </w:r>
      <w:r w:rsidDel="00000000" w:rsidR="00000000" w:rsidRPr="00000000">
        <w:rPr>
          <w:rtl w:val="0"/>
        </w:rPr>
      </w:r>
    </w:p>
    <w:tbl>
      <w:tblPr>
        <w:tblStyle w:val="Table1"/>
        <w:tblW w:w="10240.0" w:type="dxa"/>
        <w:jc w:val="left"/>
        <w:tblInd w:w="0.0" w:type="dxa"/>
        <w:tblLayout w:type="fixed"/>
        <w:tblLook w:val="0000"/>
      </w:tblPr>
      <w:tblGrid>
        <w:gridCol w:w="4785"/>
        <w:gridCol w:w="5455"/>
        <w:tblGridChange w:id="0">
          <w:tblGrid>
            <w:gridCol w:w="4785"/>
            <w:gridCol w:w="5455"/>
          </w:tblGrid>
        </w:tblGridChange>
      </w:tblGrid>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Исполнитель:</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«Архивариус»</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ИНН 7713800517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КПП 771301001</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РФ, 127550 г. Москва, ул. Прянишникова, д.19А, стр. 1</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р/с 40702810910000154178 в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АО «Тинькофф Банк»</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БИК 044525974</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к/c 30101810145250000974</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2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ОГРН 5147746440749</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ОКВЭД 92.51 22.23</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1" w:hanging="3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101" w:hanging="3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67"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547" w:right="0" w:hanging="547"/>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ПОДПИСИ СТОРОН</w:t>
      </w: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280" w:before="4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643.0" w:type="dxa"/>
        <w:jc w:val="left"/>
        <w:tblInd w:w="-72.0" w:type="dxa"/>
        <w:tblLayout w:type="fixed"/>
        <w:tblLook w:val="0000"/>
      </w:tblPr>
      <w:tblGrid>
        <w:gridCol w:w="4857"/>
        <w:gridCol w:w="4786"/>
        <w:tblGridChange w:id="0">
          <w:tblGrid>
            <w:gridCol w:w="4857"/>
            <w:gridCol w:w="4786"/>
          </w:tblGrid>
        </w:tblGridChange>
      </w:tblGrid>
      <w:tr>
        <w:trPr>
          <w:trHeight w:val="1438" w:hRule="atLeast"/>
        </w:trP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Исполнитель:</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Генеральный директор</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«Архивариус»</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 К.И.Звонарева/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Генеральный директор</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Приложение № 1</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 Договору № _____________ от « ___ » _____________ 2021 года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предоставлении услуг по сканированию</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Поточное сканирование расшитых документов</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Цены в таблице ниже приведены для режима черно-белое. </w:t>
        <w:br w:type="textWrapping"/>
        <w:t xml:space="preserve">В случае форматов А2, А1, А0 для режима Цветное применяется повышающий коэффициент 1,3.</w:t>
      </w:r>
    </w:p>
    <w:tbl>
      <w:tblPr>
        <w:tblStyle w:val="Table3"/>
        <w:tblW w:w="10537.0" w:type="dxa"/>
        <w:jc w:val="left"/>
        <w:tblInd w:w="93.0" w:type="dxa"/>
        <w:tblLayout w:type="fixed"/>
        <w:tblLook w:val="0000"/>
      </w:tblPr>
      <w:tblGrid>
        <w:gridCol w:w="488"/>
        <w:gridCol w:w="6331"/>
        <w:gridCol w:w="2133"/>
        <w:gridCol w:w="1585"/>
        <w:tblGridChange w:id="0">
          <w:tblGrid>
            <w:gridCol w:w="488"/>
            <w:gridCol w:w="6331"/>
            <w:gridCol w:w="2133"/>
            <w:gridCol w:w="1585"/>
          </w:tblGrid>
        </w:tblGridChange>
      </w:tblGrid>
      <w:tr>
        <w:trPr>
          <w:trHeight w:val="13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видов работ и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109"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 измерения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r w:rsidDel="00000000" w:rsidR="00000000" w:rsidRPr="00000000">
              <w:rPr>
                <w:rtl w:val="0"/>
              </w:rPr>
            </w:r>
          </w:p>
        </w:tc>
      </w:tr>
      <w:tr>
        <w:trPr>
          <w:trHeight w:val="56"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А4, 300dpi.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А3, 300dpi.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А2, 300dpi.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А1, 300dpi.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А0, 300dpi.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А4, 600dpi.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А3, 600dpi.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А2, 600dpi.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А1, 600dpi.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80,00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Поточное сканирование документов формата А0, 600dpi.</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90,00</w:t>
            </w:r>
          </w:p>
        </w:tc>
      </w:tr>
    </w:tbl>
    <w:p w:rsidR="00000000" w:rsidDel="00000000" w:rsidP="00000000" w:rsidRDefault="00000000" w:rsidRPr="00000000" w14:paraId="00000099">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Подготовка документов к сканированию</w:t>
      </w:r>
      <w:r w:rsidDel="00000000" w:rsidR="00000000" w:rsidRPr="00000000">
        <w:rPr>
          <w:rtl w:val="0"/>
        </w:rPr>
      </w:r>
    </w:p>
    <w:tbl>
      <w:tblPr>
        <w:tblStyle w:val="Table4"/>
        <w:tblW w:w="10537.0" w:type="dxa"/>
        <w:jc w:val="left"/>
        <w:tblInd w:w="93.0" w:type="dxa"/>
        <w:tblLayout w:type="fixed"/>
        <w:tblLook w:val="0000"/>
      </w:tblPr>
      <w:tblGrid>
        <w:gridCol w:w="488"/>
        <w:gridCol w:w="6331"/>
        <w:gridCol w:w="2133"/>
        <w:gridCol w:w="1585"/>
        <w:tblGridChange w:id="0">
          <w:tblGrid>
            <w:gridCol w:w="488"/>
            <w:gridCol w:w="6331"/>
            <w:gridCol w:w="2133"/>
            <w:gridCol w:w="1585"/>
          </w:tblGrid>
        </w:tblGridChange>
      </w:tblGrid>
      <w:tr>
        <w:trPr>
          <w:trHeight w:val="20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видов работ и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 измерения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r w:rsidDel="00000000" w:rsidR="00000000" w:rsidRPr="00000000">
              <w:rPr>
                <w:rtl w:val="0"/>
              </w:rPr>
            </w:r>
          </w:p>
        </w:tc>
      </w:tr>
      <w:tr>
        <w:trPr>
          <w:trHeight w:val="606"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Подготовка документов к сканированию, изъятие файлов и листов из папки, изъятие листов из файлов, разброшюровка, изъятие скрепок, изъятие закладок и стикеров.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дело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75,00</w:t>
            </w:r>
          </w:p>
        </w:tc>
      </w:tr>
      <w:tr>
        <w:trPr>
          <w:trHeight w:val="125"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Сшивка, обратное комплектование документов в файлы, обратное комплектование в папки.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дело</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75,00</w:t>
            </w:r>
          </w:p>
        </w:tc>
      </w:tr>
    </w:tbl>
    <w:p w:rsidR="00000000" w:rsidDel="00000000" w:rsidP="00000000" w:rsidRDefault="00000000" w:rsidRPr="00000000" w14:paraId="000000A6">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Ввод документов (индексирование, составление реестра)</w:t>
      </w:r>
      <w:r w:rsidDel="00000000" w:rsidR="00000000" w:rsidRPr="00000000">
        <w:rPr>
          <w:rtl w:val="0"/>
        </w:rPr>
      </w:r>
    </w:p>
    <w:tbl>
      <w:tblPr>
        <w:tblStyle w:val="Table5"/>
        <w:tblW w:w="10537.0" w:type="dxa"/>
        <w:jc w:val="left"/>
        <w:tblInd w:w="93.0" w:type="dxa"/>
        <w:tblLayout w:type="fixed"/>
        <w:tblLook w:val="0000"/>
      </w:tblPr>
      <w:tblGrid>
        <w:gridCol w:w="488"/>
        <w:gridCol w:w="6331"/>
        <w:gridCol w:w="2133"/>
        <w:gridCol w:w="1585"/>
        <w:tblGridChange w:id="0">
          <w:tblGrid>
            <w:gridCol w:w="488"/>
            <w:gridCol w:w="6331"/>
            <w:gridCol w:w="2133"/>
            <w:gridCol w:w="1585"/>
          </w:tblGrid>
        </w:tblGridChange>
      </w:tblGrid>
      <w:tr>
        <w:trPr>
          <w:trHeight w:val="16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видов работ и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 измерения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Индексирование скан-образов документов (файлов) после сканирования. Количество индексов от 1 до 3 включительно, не более 18 символов каждый.</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Индексирование скан-образов документов (файлов) после сканирования. Количество индексов от 4 до 5 включительно, не более 18 символов каждый.</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Индексирование скан-образов документов (файлов) после сканирования. Количество индексов от 6 до 10 включительно, не более 18 символов каждый.</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Составление реестра скан-образов документов (файлов) после сканирования. Формат реестра – электронная таблица Excel с гиперссылками на файлы. Количество полей таблицы (совпадает с количеством индексов документа) от 1 до 3 включительно, не более 18 символов каждое.</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Составление реестра скан-образов документов (файлов) после сканирования. Формат реестра – электронная таблица Excel с гиперссылками на файлы. Количество полей таблицы (совпадает с количеством индексов документа) от 4 до 5 включительно, не более 18 символов каждое.</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Составление реестра скан-образов документов (файлов) после сканирования. Формат реестра – электронная таблица Excel с гиперссылками на файлы. Количество полей таблицы (совпадает с количеством индексов документа) от 6 до 10 включительно, не более 18 символов каждое.</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Ввод данных скан-образов документов после сканирования в корпоративную информационную систему Заказчика. Количество индексов от 1 до 3 включительно, не более 18 символов каждый.</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Ввод данных скан-образов документов после сканирования в корпоративную информационную систему Заказчика. Количество индексов от 4 до 5 включительно, не более 18 символов каждый.</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Ввод данных скан-образов документов после сканирования в корпоративную информационную систему Заказчика. Количество индексов от 6 до 10 включительно, не более 18 символов каждый.</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15,00</w:t>
            </w:r>
          </w:p>
        </w:tc>
      </w:tr>
    </w:tbl>
    <w:p w:rsidR="00000000" w:rsidDel="00000000" w:rsidP="00000000" w:rsidRDefault="00000000" w:rsidRPr="00000000" w14:paraId="000000CF">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Планшетное сканирование сшитых документов</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Цены в таблице ниже приведены для режима черно-белое. </w:t>
        <w:br w:type="textWrapping"/>
        <w:t xml:space="preserve">Для режима Цветное применяется повышающий коэффициент 1,3.</w:t>
      </w:r>
    </w:p>
    <w:tbl>
      <w:tblPr>
        <w:tblStyle w:val="Table6"/>
        <w:tblW w:w="10537.0" w:type="dxa"/>
        <w:jc w:val="left"/>
        <w:tblInd w:w="93.0" w:type="dxa"/>
        <w:tblLayout w:type="fixed"/>
        <w:tblLook w:val="0000"/>
      </w:tblPr>
      <w:tblGrid>
        <w:gridCol w:w="488"/>
        <w:gridCol w:w="6331"/>
        <w:gridCol w:w="2133"/>
        <w:gridCol w:w="1585"/>
        <w:tblGridChange w:id="0">
          <w:tblGrid>
            <w:gridCol w:w="488"/>
            <w:gridCol w:w="6331"/>
            <w:gridCol w:w="2133"/>
            <w:gridCol w:w="1585"/>
          </w:tblGrid>
        </w:tblGridChange>
      </w:tblGrid>
      <w:tr>
        <w:trPr>
          <w:trHeight w:val="19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видов работ и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 измерения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Планшетное сканирование сшитых документов формата А4, 300dpi.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Планшетное сканирование сшитых документов формата А3, 300dpi.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Планшетное сканирование сшитых документов формата А4, 600dpi.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Планшетное сканирование сшитых документов формата А3, 600dpi.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w:t>
            </w:r>
          </w:p>
        </w:tc>
      </w:tr>
    </w:tbl>
    <w:p w:rsidR="00000000" w:rsidDel="00000000" w:rsidP="00000000" w:rsidRDefault="00000000" w:rsidRPr="00000000" w14:paraId="000000E5">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Передача скан-образов документов Заказчику</w:t>
      </w:r>
      <w:r w:rsidDel="00000000" w:rsidR="00000000" w:rsidRPr="00000000">
        <w:rPr>
          <w:rtl w:val="0"/>
        </w:rPr>
      </w:r>
    </w:p>
    <w:tbl>
      <w:tblPr>
        <w:tblStyle w:val="Table7"/>
        <w:tblW w:w="10537.0" w:type="dxa"/>
        <w:jc w:val="left"/>
        <w:tblInd w:w="93.0" w:type="dxa"/>
        <w:tblLayout w:type="fixed"/>
        <w:tblLook w:val="0000"/>
      </w:tblPr>
      <w:tblGrid>
        <w:gridCol w:w="488"/>
        <w:gridCol w:w="6331"/>
        <w:gridCol w:w="2133"/>
        <w:gridCol w:w="1585"/>
        <w:tblGridChange w:id="0">
          <w:tblGrid>
            <w:gridCol w:w="488"/>
            <w:gridCol w:w="6331"/>
            <w:gridCol w:w="2133"/>
            <w:gridCol w:w="1585"/>
          </w:tblGrid>
        </w:tblGridChange>
      </w:tblGrid>
      <w:tr>
        <w:trPr>
          <w:trHeight w:val="16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видов работ и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 измерения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Запись скан-образов документов на съемный носитель Заказчика.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Запись скан-образов документов в облачное хранилище Заказчика либо Исполнителя.</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Предоставление доступа к облачному хранилищу Исполнителя объемом до 10 Гигабайт на срок до 30 календарных дней</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услуга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Запись скан-образов документов на съемный носитель Исполнителя.</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Съемный носитель информации емкостью до 5 Гигабайт. В среднем позволяет хранить 5000 отсканированных листов или около 1000 скан-образов документов (из расчета 1 документ 5 листов).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носитель</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Съемный носитель информации емкостью до 10 Гигабайт. В среднем позволяет хранить 10000 отсканированных листов или около 2000 скан-образов документов (из расчета 1 документ 5 листов).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носитель</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Съемный носитель информации емкостью до 25 Гигабайт. В среднем позволяет хранить 25000 отсканированных листов или около 5000 скан-образов документов (из расчета 1 документ 5 листов).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носитель</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Съемный носитель информации емкостью до 50 Гигабайт. В среднем позволяет хранить 50000 отсканированных листов или около 10000 скан-образов документов (из расчета 1 документ 5 листов).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носитель</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1700,00</w:t>
            </w:r>
          </w:p>
        </w:tc>
      </w:tr>
      <w:tr>
        <w:trPr>
          <w:trHeight w:val="3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Съемный носитель информации емкостью до 100 Гигабайт. В среднем позволяет хранить 100000 отсканированных листов или около 20000 скан-образов документов (из расчета 1 документ 5 листов).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носитель</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2300,00</w:t>
            </w:r>
          </w:p>
        </w:tc>
      </w:tr>
    </w:tbl>
    <w:p w:rsidR="00000000" w:rsidDel="00000000" w:rsidP="00000000" w:rsidRDefault="00000000" w:rsidRPr="00000000" w14:paraId="0000010F">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Расходные материалы</w:t>
      </w:r>
      <w:r w:rsidDel="00000000" w:rsidR="00000000" w:rsidRPr="00000000">
        <w:rPr>
          <w:rtl w:val="0"/>
        </w:rPr>
      </w:r>
    </w:p>
    <w:tbl>
      <w:tblPr>
        <w:tblStyle w:val="Table8"/>
        <w:tblW w:w="10537.0" w:type="dxa"/>
        <w:jc w:val="left"/>
        <w:tblInd w:w="93.0" w:type="dxa"/>
        <w:tblLayout w:type="fixed"/>
        <w:tblLook w:val="0000"/>
      </w:tblPr>
      <w:tblGrid>
        <w:gridCol w:w="488"/>
        <w:gridCol w:w="6331"/>
        <w:gridCol w:w="2133"/>
        <w:gridCol w:w="1585"/>
        <w:tblGridChange w:id="0">
          <w:tblGrid>
            <w:gridCol w:w="488"/>
            <w:gridCol w:w="6331"/>
            <w:gridCol w:w="2133"/>
            <w:gridCol w:w="1585"/>
          </w:tblGrid>
        </w:tblGridChange>
      </w:tblGrid>
      <w:tr>
        <w:trPr>
          <w:trHeight w:val="5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видов работ и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 измерения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r w:rsidDel="00000000" w:rsidR="00000000" w:rsidRPr="00000000">
              <w:rPr>
                <w:rtl w:val="0"/>
              </w:rPr>
            </w:r>
          </w:p>
        </w:tc>
      </w:tr>
      <w:tr>
        <w:trPr>
          <w:trHeight w:val="722"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Архивный короб, размером 42,5*32,0*30,0 см, вместимостью 5 папок типа «Корона» или 5 файловых коробок, толщиной в корешке 7 см, вместимостью от 300 до 350 листов формата А4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короб</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95,00</w:t>
            </w:r>
          </w:p>
        </w:tc>
      </w:tr>
      <w:tr>
        <w:trPr>
          <w:trHeight w:val="5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Файловая коробка, толщиной в корешке 7 см, вместимостью от 300 до 350 листов формата А4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файловая коробка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45,00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Пломба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пломба (комплект)</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30,00</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Штрих-код наклейка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штрих-код наклейка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w:t>
            </w:r>
          </w:p>
        </w:tc>
      </w:tr>
    </w:tbl>
    <w:p w:rsidR="00000000" w:rsidDel="00000000" w:rsidP="00000000" w:rsidRDefault="00000000" w:rsidRPr="00000000" w14:paraId="00000124">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Каталогизация и упаковка Носителей информации Поклажедателя</w:t>
      </w:r>
      <w:r w:rsidDel="00000000" w:rsidR="00000000" w:rsidRPr="00000000">
        <w:rPr>
          <w:rtl w:val="0"/>
        </w:rPr>
      </w:r>
    </w:p>
    <w:tbl>
      <w:tblPr>
        <w:tblStyle w:val="Table9"/>
        <w:tblW w:w="10534.0" w:type="dxa"/>
        <w:jc w:val="left"/>
        <w:tblInd w:w="93.0" w:type="dxa"/>
        <w:tblLayout w:type="fixed"/>
        <w:tblLook w:val="0000"/>
      </w:tblPr>
      <w:tblGrid>
        <w:gridCol w:w="487"/>
        <w:gridCol w:w="6332"/>
        <w:gridCol w:w="2130"/>
        <w:gridCol w:w="1585"/>
        <w:tblGridChange w:id="0">
          <w:tblGrid>
            <w:gridCol w:w="487"/>
            <w:gridCol w:w="6332"/>
            <w:gridCol w:w="2130"/>
            <w:gridCol w:w="1585"/>
          </w:tblGrid>
        </w:tblGridChange>
      </w:tblGrid>
      <w:tr>
        <w:trPr>
          <w:trHeight w:val="13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видов работ и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 измерения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r w:rsidDel="00000000" w:rsidR="00000000" w:rsidRPr="00000000">
              <w:rPr>
                <w:rtl w:val="0"/>
              </w:rPr>
            </w:r>
          </w:p>
        </w:tc>
      </w:tr>
      <w:tr>
        <w:trPr>
          <w:trHeight w:val="71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Составление описания Носителей информации</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позиция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30,00</w:t>
            </w:r>
          </w:p>
        </w:tc>
      </w:tr>
      <w:tr>
        <w:trPr>
          <w:trHeight w:val="557"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Систематизация Носителей информации по годам и структурным частям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файл/папка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20,00</w:t>
            </w:r>
          </w:p>
        </w:tc>
      </w:tr>
      <w:tr>
        <w:trPr>
          <w:trHeight w:val="55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Упаковка/переупаковка Носителей информации Поклажедателя в Стандартные  короба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короб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45,00</w:t>
            </w:r>
          </w:p>
        </w:tc>
      </w:tr>
      <w:tr>
        <w:trPr>
          <w:trHeight w:val="55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Пломбирование короба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короб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35,00</w:t>
            </w:r>
          </w:p>
        </w:tc>
      </w:tr>
      <w:tr>
        <w:trPr>
          <w:trHeight w:val="55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Сборка архивного короба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короб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w:t>
            </w:r>
          </w:p>
        </w:tc>
      </w:tr>
    </w:tbl>
    <w:p w:rsidR="00000000" w:rsidDel="00000000" w:rsidP="00000000" w:rsidRDefault="00000000" w:rsidRPr="00000000" w14:paraId="0000013D">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Обработка, регистрация и перерегистрация Носителей информации</w:t>
      </w:r>
      <w:r w:rsidDel="00000000" w:rsidR="00000000" w:rsidRPr="00000000">
        <w:rPr>
          <w:rtl w:val="0"/>
        </w:rPr>
      </w:r>
    </w:p>
    <w:tbl>
      <w:tblPr>
        <w:tblStyle w:val="Table10"/>
        <w:tblW w:w="10537.0" w:type="dxa"/>
        <w:jc w:val="left"/>
        <w:tblInd w:w="93.0" w:type="dxa"/>
        <w:tblLayout w:type="fixed"/>
        <w:tblLook w:val="0000"/>
      </w:tblPr>
      <w:tblGrid>
        <w:gridCol w:w="488"/>
        <w:gridCol w:w="6331"/>
        <w:gridCol w:w="2165"/>
        <w:gridCol w:w="1553"/>
        <w:tblGridChange w:id="0">
          <w:tblGrid>
            <w:gridCol w:w="488"/>
            <w:gridCol w:w="6331"/>
            <w:gridCol w:w="2165"/>
            <w:gridCol w:w="1553"/>
          </w:tblGrid>
        </w:tblGridChange>
      </w:tblGrid>
      <w:tr>
        <w:trPr>
          <w:trHeight w:val="5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видов работ и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 измерения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r w:rsidDel="00000000" w:rsidR="00000000" w:rsidRPr="00000000">
              <w:rPr>
                <w:rtl w:val="0"/>
              </w:rPr>
            </w:r>
          </w:p>
        </w:tc>
      </w:tr>
      <w:tr>
        <w:trPr>
          <w:trHeight w:val="1749"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Обработка новых Носителей информации, Регистрация при изъятие Носителей информации (временное или постоянное), Перерегистрация Носителей информации  при возврате их в Хранилища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короб/файл/действие</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35,00</w:t>
            </w:r>
          </w:p>
        </w:tc>
      </w:tr>
      <w:tr>
        <w:trPr>
          <w:trHeight w:val="135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Поиск документа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 должен содержать, номер короба, название папки, название документа.</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Дело/папка  должны быть сформировано в соответствии с Федеральным Архивным Законодательством (ГСДОУ)</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200,00</w:t>
            </w:r>
          </w:p>
        </w:tc>
      </w:tr>
      <w:tr>
        <w:trPr>
          <w:trHeight w:val="135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Сканирование/копирование (отправка по факсу/электронной почте), страница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страница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tc>
      </w:tr>
    </w:tbl>
    <w:p w:rsidR="00000000" w:rsidDel="00000000" w:rsidP="00000000" w:rsidRDefault="00000000" w:rsidRPr="00000000" w14:paraId="00000150">
      <w:pPr>
        <w:keepNext w:val="0"/>
        <w:keepLines w:val="0"/>
        <w:widowControl w:val="1"/>
        <w:pBdr>
          <w:top w:space="0" w:sz="0" w:val="nil"/>
          <w:left w:space="0" w:sz="0" w:val="nil"/>
          <w:bottom w:color="000000" w:space="1" w:sz="12" w:val="single"/>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Перевозка**</w:t>
      </w:r>
      <w:r w:rsidDel="00000000" w:rsidR="00000000" w:rsidRPr="00000000">
        <w:rPr>
          <w:rtl w:val="0"/>
        </w:rPr>
      </w:r>
    </w:p>
    <w:tbl>
      <w:tblPr>
        <w:tblStyle w:val="Table11"/>
        <w:tblW w:w="10537.0" w:type="dxa"/>
        <w:jc w:val="left"/>
        <w:tblInd w:w="93.0" w:type="dxa"/>
        <w:tblLayout w:type="fixed"/>
        <w:tblLook w:val="0000"/>
      </w:tblPr>
      <w:tblGrid>
        <w:gridCol w:w="488"/>
        <w:gridCol w:w="6331"/>
        <w:gridCol w:w="2133"/>
        <w:gridCol w:w="1585"/>
        <w:tblGridChange w:id="0">
          <w:tblGrid>
            <w:gridCol w:w="488"/>
            <w:gridCol w:w="6331"/>
            <w:gridCol w:w="2133"/>
            <w:gridCol w:w="1585"/>
          </w:tblGrid>
        </w:tblGridChange>
      </w:tblGrid>
      <w:tr>
        <w:trPr>
          <w:trHeight w:val="5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видов работ и услуг</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Единица измерения</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r w:rsidDel="00000000" w:rsidR="00000000" w:rsidRPr="00000000">
              <w:rPr>
                <w:rtl w:val="0"/>
              </w:rPr>
            </w:r>
          </w:p>
        </w:tc>
      </w:tr>
      <w:tr>
        <w:trPr>
          <w:trHeight w:val="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Доставка расходных материалов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поездка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1 700,00</w:t>
            </w:r>
          </w:p>
        </w:tc>
      </w:tr>
      <w:tr>
        <w:trPr>
          <w:trHeight w:val="554"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Обыкновенная доставка или вывоз Носителей информации</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следующего рабочего дня)</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поездка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1 700,00</w:t>
            </w:r>
          </w:p>
        </w:tc>
      </w:tr>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Срочная доставка или вывоз Носителей информации</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половины рабочего дня)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поездка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3 500,00</w:t>
            </w:r>
          </w:p>
        </w:tc>
      </w:tr>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Обыкновенная транспортировка Носителей информации</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следующего рабочего дня)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короб/файл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30,00</w:t>
            </w:r>
          </w:p>
        </w:tc>
      </w:tr>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Срочная транспортировка Носителей информации</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половины рабочего дня)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короб/файл</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50,00</w:t>
            </w:r>
          </w:p>
        </w:tc>
      </w:tr>
    </w:tb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Расценки за все услуги по Договору являются базовыми и самостоятельно пересчитываются Исполнителем к моменту истечения каждых 12 (двенадцати) последовательных календарных месяцев действия настоящего Договора с применением в качестве коэффициента пересчёта рассчитанной уполномоченным федеральным органом исполнительной власти в области государственной статистики нарастающим итогом с месяца, предшествующего дате начала срока действия настоящего Договора, и официально опубликованной величины индекса потребительских цен по Российской Федерации в целом либо по Москве (в зависимости от того, которая из них окажется выше), выраженной в процентах</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пределах г. Москвы для одного пункта Обыкновенной/Срочной доставки или вывоза Носителей информации и с использованием Стандартного короба. Ставки на услуги для географических пунктов не далее 30 км от МКАД оцениваются с коэффициентом 2,5 на базовую стоимость услуг</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Ставки для других географических пунктов, для нескольких пунктов Обыкновенной/Срочной доставки или вывоза Носителей информации, для коробов других размеров и ставки в отношении любых других особых договоренностей должны быть отдельно согласованы между Заказчиком и Исполнителем и включены в Дополнительное приложение к настоящему Договору. Если в процессе любой Обыкновенной/Срочной доставки или вывоза курьеру Исполнителя придется ожидать представителя Заказчика более 15 (пятнадцати) минут, в таком случае будет применяться двойной тариф на услуги по Обыкновенной/Срочной доставке или вывозу Носителей информации. Сроки исполнения заказов на Обыкновенную/Срочную доставку или вывоз Носителей информации более 75 Стандартных коробов должны предварительно оговариваться с Исполнителем.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color="000000" w:space="1" w:sz="12" w:val="single"/>
          <w:right w:space="0" w:sz="0" w:val="nil"/>
          <w:between w:space="0" w:sz="0" w:val="nil"/>
        </w:pBdr>
        <w:shd w:fill="auto" w:val="clear"/>
        <w:tabs>
          <w:tab w:val="left" w:pos="7065"/>
        </w:tabs>
        <w:spacing w:after="0" w:before="12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643.0" w:type="dxa"/>
        <w:jc w:val="left"/>
        <w:tblInd w:w="-72.0" w:type="dxa"/>
        <w:tblLayout w:type="fixed"/>
        <w:tblLook w:val="0000"/>
      </w:tblPr>
      <w:tblGrid>
        <w:gridCol w:w="4857"/>
        <w:gridCol w:w="4786"/>
        <w:tblGridChange w:id="0">
          <w:tblGrid>
            <w:gridCol w:w="4857"/>
            <w:gridCol w:w="4786"/>
          </w:tblGrid>
        </w:tblGridChange>
      </w:tblGrid>
      <w:tr>
        <w:trPr>
          <w:trHeight w:val="1438" w:hRule="atLeast"/>
        </w:trPr>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Исполнитель:</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Генеральный директор</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«Архивариус»</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 К.И.Звонарева/</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Генеральный директор</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69"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tc>
      </w:tr>
    </w:tb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footerReference r:id="rId7" w:type="first"/>
      <w:footerReference r:id="rId8" w:type="even"/>
      <w:pgSz w:h="16838" w:w="11906" w:orient="portrait"/>
      <w:pgMar w:bottom="1134" w:top="851" w:left="72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72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0" w:right="36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0" w:right="36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720"/>
      <w:jc w:val="righ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0" w:right="0" w:firstLine="72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00" w:hanging="600"/>
      </w:pPr>
      <w:rPr>
        <w:vertAlign w:val="baseline"/>
      </w:rPr>
    </w:lvl>
    <w:lvl w:ilvl="1">
      <w:start w:val="1"/>
      <w:numFmt w:val="decimal"/>
      <w:lvlText w:val="%1.%2."/>
      <w:lvlJc w:val="left"/>
      <w:pPr>
        <w:ind w:left="1288" w:hanging="719.9999999999999"/>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3195" w:hanging="108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965" w:hanging="1440"/>
      </w:pPr>
      <w:rPr>
        <w:vertAlign w:val="baseline"/>
      </w:rPr>
    </w:lvl>
    <w:lvl w:ilvl="6">
      <w:start w:val="1"/>
      <w:numFmt w:val="decimal"/>
      <w:lvlText w:val="%1.%2.%3.%4.%5.%6.%7."/>
      <w:lvlJc w:val="left"/>
      <w:pPr>
        <w:ind w:left="6030" w:hanging="1800"/>
      </w:pPr>
      <w:rPr>
        <w:vertAlign w:val="baseline"/>
      </w:rPr>
    </w:lvl>
    <w:lvl w:ilvl="7">
      <w:start w:val="1"/>
      <w:numFmt w:val="decimal"/>
      <w:lvlText w:val="%1.%2.%3.%4.%5.%6.%7.%8."/>
      <w:lvlJc w:val="left"/>
      <w:pPr>
        <w:ind w:left="6735" w:hanging="1800"/>
      </w:pPr>
      <w:rPr>
        <w:vertAlign w:val="baseline"/>
      </w:rPr>
    </w:lvl>
    <w:lvl w:ilvl="8">
      <w:start w:val="1"/>
      <w:numFmt w:val="decimal"/>
      <w:lvlText w:val="%1.%2.%3.%4.%5.%6.%7.%8.%9."/>
      <w:lvlJc w:val="left"/>
      <w:pPr>
        <w:ind w:left="7800" w:hanging="2160"/>
      </w:pPr>
      <w:rPr>
        <w:vertAlign w:val="baseline"/>
      </w:rPr>
    </w:lvl>
  </w:abstractNum>
  <w:abstractNum w:abstractNumId="2">
    <w:lvl w:ilvl="0">
      <w:start w:val="6"/>
      <w:numFmt w:val="decimal"/>
      <w:lvlText w:val="7.%1"/>
      <w:lvlJc w:val="left"/>
      <w:pPr>
        <w:ind w:left="432" w:hanging="432"/>
      </w:pPr>
      <w:rPr>
        <w:vertAlign w:val="baseline"/>
      </w:rPr>
    </w:lvl>
    <w:lvl w:ilvl="1">
      <w:start w:val="1"/>
      <w:numFmt w:val="decimal"/>
      <w:lvlText w:val="%1.%2."/>
      <w:lvlJc w:val="left"/>
      <w:pPr>
        <w:ind w:left="567" w:firstLine="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3.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